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0ECE" w14:textId="0C56A9A9" w:rsidR="00796798" w:rsidRPr="00611F5D" w:rsidRDefault="00796798" w:rsidP="00B93D6C">
      <w:pPr>
        <w:spacing w:before="100" w:beforeAutospacing="1" w:after="100" w:afterAutospacing="1" w:line="240" w:lineRule="auto"/>
        <w:jc w:val="center"/>
        <w:rPr>
          <w:rFonts w:ascii="Ebrima" w:eastAsia="Times New Roman" w:hAnsi="Ebrima" w:cs="Times New Roman"/>
          <w:b/>
          <w:bCs/>
          <w:sz w:val="28"/>
          <w:szCs w:val="28"/>
          <w:lang w:val="es-ES" w:eastAsia="it-IT"/>
        </w:rPr>
      </w:pPr>
      <w:r>
        <w:rPr>
          <w:rFonts w:ascii="Ebrima" w:eastAsia="Times New Roman" w:hAnsi="Ebrima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248FF9B3" wp14:editId="426B0F22">
            <wp:extent cx="1336659" cy="72475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44" cy="728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9C46A" w14:textId="77777777" w:rsidR="000E4406" w:rsidRPr="00611F5D" w:rsidRDefault="000E4406" w:rsidP="000E4406">
      <w:pPr>
        <w:rPr>
          <w:lang w:val="es-ES" w:eastAsia="it-IT"/>
        </w:rPr>
      </w:pPr>
    </w:p>
    <w:p w14:paraId="209565DB" w14:textId="77777777" w:rsidR="00B22BD9" w:rsidRPr="00AD02D4" w:rsidRDefault="00B22BD9" w:rsidP="00B22BD9">
      <w:pPr>
        <w:pStyle w:val="Titolo9"/>
        <w:rPr>
          <w:rFonts w:asciiTheme="majorHAnsi" w:hAnsiTheme="majorHAnsi" w:cs="Trebuchet MS"/>
          <w:b/>
          <w:i/>
          <w:color w:val="0000FF"/>
          <w:sz w:val="28"/>
          <w:szCs w:val="18"/>
          <w:lang w:val="en-US" w:eastAsia="it-IT"/>
        </w:rPr>
      </w:pPr>
      <w:r w:rsidRPr="00B22BD9">
        <w:rPr>
          <w:rFonts w:asciiTheme="majorHAnsi" w:hAnsiTheme="majorHAnsi" w:cs="Trebuchet MS"/>
          <w:b/>
          <w:i/>
          <w:color w:val="0000FF"/>
          <w:sz w:val="28"/>
          <w:szCs w:val="18"/>
          <w:lang w:val="en" w:eastAsia="it-IT"/>
        </w:rPr>
        <w:t>Erasmus call 2021/2022</w:t>
      </w:r>
    </w:p>
    <w:p w14:paraId="7BB61495" w14:textId="5710B441" w:rsidR="0022792D" w:rsidRPr="00796798" w:rsidRDefault="00B22BD9" w:rsidP="00B22BD9">
      <w:pPr>
        <w:pStyle w:val="Titolo9"/>
        <w:rPr>
          <w:rFonts w:asciiTheme="majorHAnsi" w:hAnsiTheme="majorHAnsi" w:cstheme="majorHAnsi"/>
          <w:sz w:val="24"/>
          <w:szCs w:val="28"/>
          <w:lang w:eastAsia="it-IT"/>
        </w:rPr>
      </w:pPr>
      <w:r w:rsidRPr="00B22BD9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 xml:space="preserve">Annex 2 - University </w:t>
      </w:r>
      <w:r w:rsidR="00E97194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>of Pisa</w:t>
      </w:r>
      <w:r w:rsidR="00C339CE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 xml:space="preserve"> </w:t>
      </w:r>
      <w:r w:rsidRPr="00B22BD9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>selection</w:t>
      </w:r>
      <w:r w:rsidR="007C64AC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 xml:space="preserve"> single</w:t>
      </w:r>
      <w:r w:rsidRPr="00B22BD9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 xml:space="preserve"> criteria for </w:t>
      </w:r>
      <w:r w:rsidR="00C2512B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>scoring procedure</w:t>
      </w:r>
      <w:r w:rsidRPr="00B22BD9">
        <w:rPr>
          <w:rFonts w:asciiTheme="majorHAnsi" w:hAnsiTheme="majorHAnsi" w:cs="Trebuchet MS"/>
          <w:i/>
          <w:color w:val="0000FF"/>
          <w:sz w:val="28"/>
          <w:szCs w:val="18"/>
          <w:lang w:val="en" w:eastAsia="it-IT"/>
        </w:rPr>
        <w:t>.</w:t>
      </w:r>
    </w:p>
    <w:p w14:paraId="13408DEB" w14:textId="77777777" w:rsidR="00796798" w:rsidRPr="00AD02D4" w:rsidRDefault="00796798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i/>
          <w:iCs/>
          <w:sz w:val="28"/>
          <w:szCs w:val="28"/>
          <w:lang w:val="en-US" w:eastAsia="it-IT"/>
        </w:rPr>
      </w:pPr>
    </w:p>
    <w:p w14:paraId="3006D83E" w14:textId="3B1BE1FD" w:rsidR="00B22BD9" w:rsidRPr="007C64AC" w:rsidRDefault="00B22BD9" w:rsidP="00B22BD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-US" w:eastAsia="it-IT"/>
        </w:rPr>
      </w:pPr>
      <w:r w:rsidRPr="00B22BD9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 xml:space="preserve">Bachelor's, </w:t>
      </w:r>
      <w:r w:rsidR="00C2512B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>M</w:t>
      </w:r>
      <w:r w:rsidRPr="00B22BD9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 xml:space="preserve">aster's and </w:t>
      </w:r>
      <w:r w:rsidR="00C339CE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>S</w:t>
      </w:r>
      <w:r w:rsidRPr="00B22BD9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 xml:space="preserve">ingle </w:t>
      </w:r>
      <w:r w:rsidR="00C339CE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>C</w:t>
      </w:r>
      <w:r w:rsidRPr="00B22BD9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>ycle degrees</w:t>
      </w:r>
    </w:p>
    <w:p w14:paraId="19E840F6" w14:textId="75B80E01" w:rsidR="00B22BD9" w:rsidRPr="00CA065B" w:rsidRDefault="00B22BD9" w:rsidP="00B22BD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i/>
          <w:iCs/>
          <w:color w:val="0000FF"/>
          <w:sz w:val="24"/>
          <w:szCs w:val="24"/>
          <w:lang w:val="en-US" w:eastAsia="it-IT"/>
        </w:rPr>
      </w:pPr>
      <w:r w:rsidRPr="00B22BD9">
        <w:rPr>
          <w:rFonts w:asciiTheme="majorHAnsi" w:eastAsia="Times New Roman" w:hAnsiTheme="majorHAnsi" w:cstheme="majorHAnsi"/>
          <w:b/>
          <w:i/>
          <w:iCs/>
          <w:color w:val="0000FF"/>
          <w:sz w:val="24"/>
          <w:szCs w:val="24"/>
          <w:lang w:val="en" w:eastAsia="it-IT"/>
        </w:rPr>
        <w:t>Mobility for study</w:t>
      </w:r>
    </w:p>
    <w:p w14:paraId="372B3134" w14:textId="54AA5799" w:rsidR="00B22BD9" w:rsidRPr="007C64AC" w:rsidRDefault="00B22BD9" w:rsidP="00B22BD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B22BD9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AC </w:t>
      </w:r>
      <w:r w:rsidRPr="00CA065B">
        <w:rPr>
          <w:rFonts w:asciiTheme="majorHAnsi" w:eastAsia="Times New Roman" w:hAnsiTheme="majorHAnsi" w:cstheme="majorHAnsi"/>
          <w:bCs/>
          <w:iCs/>
          <w:sz w:val="24"/>
          <w:szCs w:val="24"/>
          <w:lang w:val="en" w:eastAsia="it-IT"/>
        </w:rPr>
        <w:t xml:space="preserve">= </w:t>
      </w:r>
      <w:r w:rsidR="005B6701" w:rsidRPr="00CA065B">
        <w:rPr>
          <w:rFonts w:asciiTheme="majorHAnsi" w:eastAsia="Times New Roman" w:hAnsiTheme="majorHAnsi" w:cstheme="majorHAnsi"/>
          <w:bCs/>
          <w:iCs/>
          <w:sz w:val="24"/>
          <w:szCs w:val="24"/>
          <w:lang w:val="en" w:eastAsia="it-IT"/>
        </w:rPr>
        <w:t>(</w:t>
      </w:r>
      <w:r w:rsidR="005B6701" w:rsidRPr="00CA065B">
        <w:rPr>
          <w:rFonts w:asciiTheme="majorHAnsi" w:eastAsia="Times New Roman" w:hAnsiTheme="majorHAnsi" w:cstheme="majorHAnsi"/>
          <w:bCs/>
          <w:iCs/>
          <w:sz w:val="24"/>
          <w:szCs w:val="24"/>
          <w:lang w:val="en-US" w:eastAsia="it-IT"/>
        </w:rPr>
        <w:t>Anno Corrente</w:t>
      </w:r>
      <w:r w:rsidR="005B6701" w:rsidRPr="00CA065B">
        <w:rPr>
          <w:rFonts w:asciiTheme="majorHAnsi" w:eastAsia="Times New Roman" w:hAnsiTheme="majorHAnsi" w:cstheme="majorHAnsi"/>
          <w:bCs/>
          <w:iCs/>
          <w:sz w:val="24"/>
          <w:szCs w:val="24"/>
          <w:lang w:val="en" w:eastAsia="it-IT"/>
        </w:rPr>
        <w:t>)</w:t>
      </w:r>
      <w:r w:rsidR="005B6701">
        <w:rPr>
          <w:rFonts w:asciiTheme="majorHAnsi" w:eastAsia="Times New Roman" w:hAnsiTheme="majorHAnsi" w:cstheme="majorHAnsi"/>
          <w:bCs/>
          <w:iCs/>
          <w:sz w:val="24"/>
          <w:szCs w:val="24"/>
          <w:lang w:val="en" w:eastAsia="it-IT"/>
        </w:rPr>
        <w:t xml:space="preserve"> </w:t>
      </w:r>
      <w:r w:rsidRPr="00B22BD9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Current Year. 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</w:t>
      </w:r>
      <w:r w:rsidRPr="00B22BD9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he year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of</w:t>
      </w:r>
      <w:r w:rsidRPr="00B22BD9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call </w:t>
      </w:r>
      <w:r w:rsidR="00A71DEF" w:rsidRPr="00B22BD9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publi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cation</w:t>
      </w:r>
      <w:r w:rsidRPr="00B22BD9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.</w:t>
      </w:r>
    </w:p>
    <w:p w14:paraId="36EA578C" w14:textId="36DFFB27" w:rsidR="009C6797" w:rsidRPr="00EC2E62" w:rsidRDefault="0022792D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  <w:r w:rsidRPr="00CA065B">
        <w:rPr>
          <w:rFonts w:asciiTheme="majorHAnsi" w:eastAsia="Times New Roman" w:hAnsiTheme="majorHAnsi" w:cstheme="majorHAnsi"/>
          <w:b/>
          <w:iCs/>
          <w:sz w:val="24"/>
          <w:szCs w:val="24"/>
          <w:lang w:eastAsia="it-IT"/>
        </w:rPr>
        <w:t>AI</w:t>
      </w:r>
      <w:r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= 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(</w:t>
      </w:r>
      <w:r w:rsidR="005B6701" w:rsidRPr="00B75CA4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Anno Iscrizione)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</w:t>
      </w:r>
      <w:r w:rsidR="00C339CE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Enrollment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Year. </w:t>
      </w:r>
      <w:r w:rsidR="006242C9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he year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of 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first </w:t>
      </w:r>
      <w:r w:rsidR="00A71DE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enroll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ment</w:t>
      </w:r>
      <w:r w:rsidR="00A71DE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in the </w:t>
      </w:r>
      <w:r w:rsidR="00A71DE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study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programme</w:t>
      </w:r>
      <w:r w:rsidR="00A71DE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74411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the student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is attending. If the student enrolled in academic year X / Y, the </w:t>
      </w:r>
      <w:r w:rsidR="00A71DE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enrollment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year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should</w:t>
      </w:r>
      <w:r w:rsidR="00A71DE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always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be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considered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the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year X, regardless of the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actual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enrollment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completion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.</w:t>
      </w:r>
    </w:p>
    <w:p w14:paraId="53025166" w14:textId="36F6D8DD" w:rsidR="00401EE9" w:rsidRPr="00EC2E62" w:rsidRDefault="00401EE9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</w:p>
    <w:p w14:paraId="51225F8E" w14:textId="49B2E354" w:rsidR="008C1D02" w:rsidRPr="00EC2E62" w:rsidRDefault="0022792D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  <w:r w:rsidRPr="007C64AC">
        <w:rPr>
          <w:rFonts w:asciiTheme="majorHAnsi" w:eastAsia="Times New Roman" w:hAnsiTheme="majorHAnsi" w:cstheme="majorHAnsi"/>
          <w:b/>
          <w:iCs/>
          <w:sz w:val="24"/>
          <w:szCs w:val="24"/>
          <w:lang w:val="en-US" w:eastAsia="it-IT"/>
        </w:rPr>
        <w:t>NA</w:t>
      </w:r>
      <w:r w:rsidRPr="007C64AC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 = 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(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Numero crediti attesi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)</w:t>
      </w:r>
      <w:r w:rsidR="006242C9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Number of credits expected. </w:t>
      </w:r>
      <w:r w:rsidR="006242C9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he 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estimate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credits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the student should have acquired when applying for the call</w:t>
      </w:r>
      <w:r w:rsidR="00217F4B" w:rsidRPr="00EC2E62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. </w:t>
      </w:r>
    </w:p>
    <w:p w14:paraId="3425D300" w14:textId="217312BC" w:rsidR="00994CAA" w:rsidRPr="00EC2E62" w:rsidRDefault="00217F4B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  <w:r w:rsidRPr="00EC2E62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NA </w:t>
      </w:r>
      <w:r w:rsidR="00A71DE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is the result of</w:t>
      </w:r>
      <w:r w:rsidR="009C6797" w:rsidRPr="00EC2E62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the following formula:</w:t>
      </w:r>
    </w:p>
    <w:p w14:paraId="14CBA314" w14:textId="2A0B62A5" w:rsidR="0022792D" w:rsidRPr="00796798" w:rsidRDefault="0022792D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8"/>
          <w:lang w:eastAsia="it-IT"/>
        </w:rPr>
      </w:pPr>
      <m:oMathPara>
        <m:oMath>
          <m:r>
            <w:rPr>
              <w:rFonts w:ascii="Cambria Math" w:eastAsia="Times New Roman" w:hAnsi="Cambria Math" w:cstheme="majorHAnsi"/>
              <w:sz w:val="24"/>
              <w:szCs w:val="28"/>
              <w:lang w:eastAsia="it-IT"/>
            </w:rPr>
            <m:t>NA=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theme="majorHAnsi"/>
                  <w:i/>
                  <w:iCs/>
                  <w:sz w:val="24"/>
                  <w:szCs w:val="28"/>
                  <w:lang w:eastAsia="it-IT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theme="majorHAnsi"/>
                      <w:i/>
                      <w:iCs/>
                      <w:sz w:val="24"/>
                      <w:szCs w:val="28"/>
                      <w:lang w:eastAsia="it-IT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="Times New Roman" w:hAnsi="Cambria Math" w:cstheme="majorHAnsi"/>
                            <w:i/>
                            <w:iCs/>
                            <w:sz w:val="24"/>
                            <w:szCs w:val="28"/>
                            <w:lang w:eastAsia="it-I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ajorHAnsi"/>
                            <w:sz w:val="24"/>
                            <w:szCs w:val="28"/>
                            <w:lang w:eastAsia="it-IT"/>
                          </w:rPr>
                          <m:t>AC-AI</m:t>
                        </m:r>
                      </m:e>
                    </m:d>
                    <m:r>
                      <w:rPr>
                        <w:rFonts w:ascii="Cambria Math" w:eastAsia="Times New Roman" w:hAnsi="Cambria Math" w:cstheme="majorHAnsi"/>
                        <w:sz w:val="24"/>
                        <w:szCs w:val="28"/>
                        <w:lang w:eastAsia="it-IT"/>
                      </w:rPr>
                      <m:t>*60-30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="Times New Roman" w:hAnsi="Cambria Math" w:cstheme="majorHAnsi"/>
                            <w:i/>
                            <w:iCs/>
                            <w:sz w:val="24"/>
                            <w:szCs w:val="28"/>
                            <w:lang w:eastAsia="it-I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ajorHAnsi"/>
                            <w:sz w:val="24"/>
                            <w:szCs w:val="28"/>
                            <w:lang w:eastAsia="it-IT"/>
                          </w:rPr>
                          <m:t>AC-AI</m:t>
                        </m:r>
                      </m:e>
                    </m:d>
                    <m:r>
                      <w:rPr>
                        <w:rFonts w:ascii="Cambria Math" w:eastAsia="Times New Roman" w:hAnsi="Cambria Math" w:cstheme="majorHAnsi"/>
                        <w:sz w:val="24"/>
                        <w:szCs w:val="28"/>
                        <w:lang w:eastAsia="it-IT"/>
                      </w:rPr>
                      <m:t>*60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theme="majorHAnsi"/>
              <w:sz w:val="24"/>
              <w:szCs w:val="28"/>
              <w:lang w:eastAsia="it-IT"/>
            </w:rPr>
            <m:t xml:space="preserve">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theme="majorHAnsi"/>
                  <w:i/>
                  <w:iCs/>
                  <w:sz w:val="24"/>
                  <w:szCs w:val="28"/>
                  <w:lang w:eastAsia="it-IT"/>
                </w:rPr>
              </m:ctrlPr>
            </m:mPr>
            <m:mr>
              <m:e>
                <m:r>
                  <w:rPr>
                    <w:rFonts w:ascii="Cambria Math" w:eastAsia="Times New Roman" w:hAnsi="Cambria Math" w:cstheme="majorHAnsi"/>
                    <w:sz w:val="24"/>
                    <w:szCs w:val="28"/>
                    <w:lang w:eastAsia="it-IT"/>
                  </w:rPr>
                  <m:t>first opening call</m:t>
                </m:r>
              </m:e>
            </m:mr>
            <m:mr>
              <m:e>
                <m:r>
                  <w:rPr>
                    <w:rFonts w:ascii="Cambria Math" w:eastAsia="Times New Roman" w:hAnsi="Cambria Math" w:cstheme="majorHAnsi"/>
                    <w:sz w:val="24"/>
                    <w:szCs w:val="28"/>
                    <w:lang w:eastAsia="it-IT"/>
                  </w:rPr>
                  <m:t>second opening call</m:t>
                </m:r>
              </m:e>
            </m:mr>
          </m:m>
        </m:oMath>
      </m:oMathPara>
    </w:p>
    <w:p w14:paraId="450FCE44" w14:textId="77777777" w:rsidR="009C6797" w:rsidRPr="00AD02D4" w:rsidRDefault="009C6797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If NA &lt;= 0, NA is initialized to the value of 30.</w:t>
      </w:r>
    </w:p>
    <w:p w14:paraId="415F354D" w14:textId="621B1F09" w:rsidR="009C6797" w:rsidRPr="00C339CE" w:rsidRDefault="009C6797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In the first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call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opening, 30 is </w:t>
      </w:r>
      <w:r w:rsidR="0074411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subtracted</w:t>
      </w:r>
      <w:r w:rsidR="0074411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because students may have acquired credits only for the first semester of the year. 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In the event </w:t>
      </w:r>
      <w:r w:rsidR="0074411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of</w:t>
      </w:r>
      <w:r w:rsidR="00744117"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</w:t>
      </w:r>
      <w:r w:rsidR="0074411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being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</w:t>
      </w:r>
      <w:r w:rsidR="00C339CE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or having been a 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part-time </w:t>
      </w:r>
      <w:r w:rsidR="00C339CE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student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the years </w:t>
      </w:r>
      <w:r w:rsidR="0074411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when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</w:t>
      </w:r>
      <w:r w:rsidR="0074411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the student</w:t>
      </w:r>
      <w:r w:rsidR="00744117"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has been in this status are counted as 30 instead of 60.</w:t>
      </w:r>
    </w:p>
    <w:p w14:paraId="105443BA" w14:textId="03A254B8" w:rsidR="00E27ED9" w:rsidRPr="00CA065B" w:rsidRDefault="00E27ED9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</w:pPr>
      <w:r w:rsidRPr="00CA065B">
        <w:rPr>
          <w:rFonts w:asciiTheme="majorHAnsi" w:eastAsia="Times New Roman" w:hAnsiTheme="majorHAnsi" w:cstheme="majorHAnsi"/>
          <w:b/>
          <w:iCs/>
          <w:sz w:val="24"/>
          <w:szCs w:val="24"/>
          <w:lang w:eastAsia="it-IT"/>
        </w:rPr>
        <w:t>NS</w:t>
      </w:r>
      <w:r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= 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(</w:t>
      </w:r>
      <w:r w:rsidR="005B6701"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Numero di crediti acquisiti dallo studente nel corso di studio in cui è iscritto all’atto della domanda di partecipazione al bando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)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Number of credits acquired </w:t>
      </w:r>
      <w:r w:rsidR="0074411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during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the </w:t>
      </w:r>
      <w:r w:rsidR="00A0479F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study programme</w:t>
      </w:r>
      <w:r w:rsidR="0074411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t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he </w:t>
      </w:r>
      <w:r w:rsidR="0074411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student 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is enrolled </w:t>
      </w:r>
      <w:r w:rsidR="00D62D24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in 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at the time of </w:t>
      </w:r>
      <w:r w:rsidR="00A0479F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the call 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application.</w:t>
      </w:r>
    </w:p>
    <w:p w14:paraId="0BB6FBE2" w14:textId="020AAEE4" w:rsidR="0022792D" w:rsidRPr="00AD02D4" w:rsidRDefault="0022792D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CA065B">
        <w:rPr>
          <w:rFonts w:asciiTheme="majorHAnsi" w:eastAsia="Times New Roman" w:hAnsiTheme="majorHAnsi" w:cstheme="majorHAnsi"/>
          <w:b/>
          <w:iCs/>
          <w:sz w:val="24"/>
          <w:szCs w:val="24"/>
          <w:lang w:eastAsia="it-IT"/>
        </w:rPr>
        <w:t>R</w:t>
      </w:r>
      <w:r w:rsidR="00767FC5" w:rsidRPr="00CA065B">
        <w:rPr>
          <w:rFonts w:asciiTheme="majorHAnsi" w:eastAsia="Times New Roman" w:hAnsiTheme="majorHAnsi" w:cstheme="majorHAnsi"/>
          <w:b/>
          <w:iCs/>
          <w:sz w:val="24"/>
          <w:szCs w:val="24"/>
          <w:lang w:eastAsia="it-IT"/>
        </w:rPr>
        <w:t>S</w:t>
      </w:r>
      <w:r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= 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(</w:t>
      </w:r>
      <w:r w:rsidR="005B6701"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Rendimento dello studente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) 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Student performance. </w:t>
      </w:r>
      <w:r w:rsidR="0074411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C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redits </w:t>
      </w:r>
      <w:r w:rsidR="0074411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p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ercentage acquired by the student with respect to the expected credits</w:t>
      </w:r>
    </w:p>
    <w:p w14:paraId="05E9C141" w14:textId="6CDFA02B" w:rsidR="0022792D" w:rsidRPr="00796798" w:rsidRDefault="0022792D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8"/>
          <w:lang w:eastAsia="it-IT"/>
        </w:rPr>
      </w:pPr>
      <m:oMathPara>
        <m:oMath>
          <m:r>
            <w:rPr>
              <w:rFonts w:ascii="Cambria Math" w:eastAsia="Times New Roman" w:hAnsi="Cambria Math" w:cstheme="majorHAnsi"/>
              <w:sz w:val="24"/>
              <w:szCs w:val="28"/>
              <w:lang w:eastAsia="it-IT"/>
            </w:rPr>
            <m:t>RS=</m:t>
          </m:r>
          <m:f>
            <m:fPr>
              <m:ctrlPr>
                <w:rPr>
                  <w:rFonts w:ascii="Cambria Math" w:eastAsia="Times New Roman" w:hAnsi="Cambria Math" w:cstheme="majorHAnsi"/>
                  <w:i/>
                  <w:iCs/>
                  <w:sz w:val="24"/>
                  <w:szCs w:val="28"/>
                  <w:lang w:eastAsia="it-IT"/>
                </w:rPr>
              </m:ctrlPr>
            </m:fPr>
            <m:num>
              <m:r>
                <w:rPr>
                  <w:rFonts w:ascii="Cambria Math" w:eastAsia="Times New Roman" w:hAnsi="Cambria Math" w:cstheme="majorHAnsi"/>
                  <w:sz w:val="24"/>
                  <w:szCs w:val="28"/>
                  <w:lang w:eastAsia="it-IT"/>
                </w:rPr>
                <m:t>NS</m:t>
              </m:r>
            </m:num>
            <m:den>
              <m:r>
                <w:rPr>
                  <w:rFonts w:ascii="Cambria Math" w:eastAsia="Times New Roman" w:hAnsi="Cambria Math" w:cstheme="majorHAnsi"/>
                  <w:sz w:val="24"/>
                  <w:szCs w:val="28"/>
                  <w:lang w:eastAsia="it-IT"/>
                </w:rPr>
                <m:t>NA</m:t>
              </m:r>
            </m:den>
          </m:f>
        </m:oMath>
      </m:oMathPara>
    </w:p>
    <w:p w14:paraId="26EE094A" w14:textId="5ACE05FB" w:rsidR="009C6797" w:rsidRPr="00C339CE" w:rsidRDefault="00A0479F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iCs/>
          <w:sz w:val="24"/>
          <w:szCs w:val="24"/>
          <w:lang w:val="en-US" w:eastAsia="it-IT"/>
        </w:rPr>
      </w:pPr>
      <w:r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W</w:t>
      </w:r>
      <w:r w:rsidR="009C6797"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here NS&gt; NA, NA is approximated with the 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NS </w:t>
      </w:r>
      <w:r w:rsidR="009C6797"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value rounded up to the nearest multiple of 30.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For example, if NS = 6, then NA = 30. If NS = 42, then NA = 60.</w:t>
      </w:r>
    </w:p>
    <w:p w14:paraId="3BA98054" w14:textId="6EC7F763" w:rsidR="009C6797" w:rsidRPr="00EC2E62" w:rsidRDefault="0037240B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  <w:r w:rsidRPr="00C339CE">
        <w:rPr>
          <w:rFonts w:asciiTheme="majorHAnsi" w:eastAsia="Times New Roman" w:hAnsiTheme="majorHAnsi" w:cstheme="majorHAnsi"/>
          <w:b/>
          <w:iCs/>
          <w:sz w:val="24"/>
          <w:szCs w:val="24"/>
          <w:lang w:val="en-US" w:eastAsia="it-IT"/>
        </w:rPr>
        <w:t>MP</w:t>
      </w:r>
      <w:r w:rsidRPr="00C339CE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 = 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(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Media Pesata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)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Weighted average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grade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. Weighted average 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grade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of the exams taken in the 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programme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the student is enrolled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in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. 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For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the weighted average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grade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calculati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on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, 30 cum laude is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lastRenderedPageBreak/>
        <w:t xml:space="preserve">considered differently (from 31 to 33) depending on the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study 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programme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. This value is taken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from esse3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system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, where it is calculated for each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study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course considering the value assigned to honors by the 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relevant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study 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programme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.</w:t>
      </w:r>
    </w:p>
    <w:p w14:paraId="73A79E45" w14:textId="49E39A76" w:rsidR="00E27ED9" w:rsidRPr="00EC2E62" w:rsidRDefault="00E27ED9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</w:p>
    <w:p w14:paraId="006FBE19" w14:textId="057ECD33" w:rsidR="00182714" w:rsidRPr="00AD02D4" w:rsidRDefault="00182714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CA065B">
        <w:rPr>
          <w:rFonts w:asciiTheme="majorHAnsi" w:eastAsia="Times New Roman" w:hAnsiTheme="majorHAnsi" w:cstheme="majorHAnsi"/>
          <w:b/>
          <w:iCs/>
          <w:sz w:val="24"/>
          <w:szCs w:val="24"/>
          <w:lang w:eastAsia="it-IT"/>
        </w:rPr>
        <w:t>PL</w:t>
      </w:r>
      <w:r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= 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(</w:t>
      </w:r>
      <w:r w:rsidR="005B6701"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Punteggio assegnato alla lode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)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Score awarded to honors.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It depends on the individual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study </w:t>
      </w:r>
      <w:r w:rsidR="00A0479F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programme</w:t>
      </w:r>
      <w:r w:rsidR="002E0A03" w:rsidRPr="00AD02D4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.</w:t>
      </w:r>
    </w:p>
    <w:p w14:paraId="59DC7077" w14:textId="3E57D73B" w:rsidR="0037240B" w:rsidRPr="00796798" w:rsidRDefault="0037240B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</w:pPr>
      <w:r w:rsidRPr="00796798">
        <w:rPr>
          <w:rFonts w:asciiTheme="majorHAnsi" w:eastAsia="Times New Roman" w:hAnsiTheme="majorHAnsi" w:cstheme="majorHAnsi"/>
          <w:b/>
          <w:iCs/>
          <w:sz w:val="24"/>
          <w:szCs w:val="24"/>
          <w:lang w:eastAsia="it-IT"/>
        </w:rPr>
        <w:t>PS</w:t>
      </w:r>
      <w:r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=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(</w:t>
      </w:r>
      <w:r w:rsidR="005B6701"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Punteggio studente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)</w:t>
      </w:r>
      <w:r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</w:t>
      </w:r>
      <w:r w:rsidR="009C6797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Student score</w:t>
      </w:r>
      <w:r w:rsidR="00767FC5"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. </w:t>
      </w:r>
    </w:p>
    <w:p w14:paraId="78D36596" w14:textId="5A1083E3" w:rsidR="0037240B" w:rsidRPr="00796798" w:rsidRDefault="0037240B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iCs/>
          <w:sz w:val="28"/>
          <w:szCs w:val="28"/>
          <w:lang w:eastAsia="it-IT"/>
        </w:rPr>
      </w:pPr>
      <m:oMathPara>
        <m:oMath>
          <m:r>
            <w:rPr>
              <w:rFonts w:ascii="Cambria Math" w:eastAsia="Times New Roman" w:hAnsi="Cambria Math" w:cstheme="majorHAnsi"/>
              <w:sz w:val="24"/>
              <w:szCs w:val="28"/>
              <w:lang w:eastAsia="it-IT"/>
            </w:rPr>
            <m:t>PS=</m:t>
          </m:r>
          <m:f>
            <m:fPr>
              <m:ctrlPr>
                <w:rPr>
                  <w:rFonts w:ascii="Cambria Math" w:eastAsia="Times New Roman" w:hAnsi="Cambria Math" w:cstheme="majorHAnsi"/>
                  <w:i/>
                  <w:iCs/>
                  <w:sz w:val="24"/>
                  <w:szCs w:val="28"/>
                  <w:lang w:eastAsia="it-IT"/>
                </w:rPr>
              </m:ctrlPr>
            </m:fPr>
            <m:num>
              <m:r>
                <w:rPr>
                  <w:rFonts w:ascii="Cambria Math" w:eastAsia="Times New Roman" w:hAnsi="Cambria Math" w:cstheme="majorHAnsi"/>
                  <w:sz w:val="24"/>
                  <w:szCs w:val="28"/>
                  <w:lang w:eastAsia="it-IT"/>
                </w:rPr>
                <m:t>MP-18</m:t>
              </m:r>
            </m:num>
            <m:den>
              <m:r>
                <w:rPr>
                  <w:rFonts w:ascii="Cambria Math" w:eastAsia="Times New Roman" w:hAnsi="Cambria Math" w:cstheme="majorHAnsi"/>
                  <w:sz w:val="24"/>
                  <w:szCs w:val="28"/>
                  <w:lang w:eastAsia="it-IT"/>
                </w:rPr>
                <m:t>PL-18</m:t>
              </m:r>
            </m:den>
          </m:f>
          <m:r>
            <w:rPr>
              <w:rFonts w:ascii="Cambria Math" w:eastAsia="Times New Roman" w:hAnsi="Cambria Math" w:cstheme="majorHAnsi"/>
              <w:sz w:val="24"/>
              <w:szCs w:val="28"/>
              <w:lang w:eastAsia="it-IT"/>
            </w:rPr>
            <m:t>∙50+ RS∙50</m:t>
          </m:r>
        </m:oMath>
      </m:oMathPara>
    </w:p>
    <w:p w14:paraId="3556BB77" w14:textId="77777777" w:rsidR="009C6797" w:rsidRPr="00C339CE" w:rsidRDefault="009C6797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The maximum value of PS is therefore 100.</w:t>
      </w:r>
    </w:p>
    <w:p w14:paraId="6CDAA331" w14:textId="086A840F" w:rsidR="009C6797" w:rsidRPr="009C6797" w:rsidRDefault="009C6797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With regard to language certification, the CAI</w:t>
      </w:r>
      <w:r w:rsidR="00CD7AA3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(Area Coordinator for Internationalization)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can assess whether the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language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knowledge </w:t>
      </w:r>
      <w:r w:rsidR="00A0479F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level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declared by the student is not adequate for a specific </w:t>
      </w:r>
      <w:r w:rsidR="00C339CE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institution</w:t>
      </w:r>
      <w:r w:rsidR="00C339CE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and </w:t>
      </w:r>
      <w:r w:rsidR="004670E6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cancel that </w:t>
      </w:r>
      <w:r w:rsidR="00014AA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institution</w:t>
      </w:r>
      <w:r w:rsidR="00014AAC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4670E6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from</w:t>
      </w:r>
      <w:r w:rsidR="004670E6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the three possible </w:t>
      </w:r>
      <w:r w:rsidR="00014AA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options </w:t>
      </w:r>
      <w:r w:rsidR="004670E6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selected</w:t>
      </w:r>
      <w:r w:rsidR="004670E6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by the student.</w:t>
      </w:r>
    </w:p>
    <w:p w14:paraId="1AB370CF" w14:textId="7AB2165F" w:rsidR="009C6797" w:rsidRPr="00EC2E62" w:rsidRDefault="009C6797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</w:pP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In addition, the CAI assesses the relevance of the training proposal submitted by the student for a specific </w:t>
      </w:r>
      <w:r w:rsidR="00014AA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institution</w:t>
      </w:r>
      <w:r w:rsidR="004670E6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with the student's curriculum and may decide not to assign the </w:t>
      </w:r>
      <w:r w:rsidR="00014AA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institution</w:t>
      </w:r>
      <w:r w:rsidR="007C64A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if this relevance is not considered adequate.</w:t>
      </w:r>
    </w:p>
    <w:p w14:paraId="19B5458C" w14:textId="2CADA7EF" w:rsidR="009C6797" w:rsidRPr="00AD02D4" w:rsidRDefault="009C6797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i/>
          <w:iCs/>
          <w:color w:val="0000FF"/>
          <w:sz w:val="24"/>
          <w:szCs w:val="24"/>
          <w:lang w:val="en-US" w:eastAsia="it-IT"/>
        </w:rPr>
      </w:pPr>
      <w:r w:rsidRPr="009C6797">
        <w:rPr>
          <w:rFonts w:asciiTheme="majorHAnsi" w:eastAsia="Times New Roman" w:hAnsiTheme="majorHAnsi" w:cstheme="majorHAnsi"/>
          <w:b/>
          <w:i/>
          <w:iCs/>
          <w:color w:val="0000FF"/>
          <w:sz w:val="24"/>
          <w:szCs w:val="24"/>
          <w:lang w:val="en" w:eastAsia="it-IT"/>
        </w:rPr>
        <w:t>Mobility for traineeship</w:t>
      </w:r>
    </w:p>
    <w:p w14:paraId="352BD983" w14:textId="106F2D81" w:rsidR="009C6797" w:rsidRPr="00AD02D4" w:rsidRDefault="009C6797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Two </w:t>
      </w:r>
      <w:r w:rsidR="002D2E3C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ranking</w:t>
      </w:r>
      <w:r w:rsidR="002D2E3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lists</w:t>
      </w:r>
      <w:r w:rsidR="002D2E3C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are </w:t>
      </w:r>
      <w:r w:rsidR="0053151D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made</w:t>
      </w:r>
      <w:r w:rsidR="0053151D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using the previously calculated PS, one for pre-graduate mobility and one for post-graduate mobility. </w:t>
      </w:r>
      <w:r w:rsidRPr="009C6797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Priority is given to pre-graduate mobility.</w:t>
      </w:r>
    </w:p>
    <w:p w14:paraId="57DC5929" w14:textId="77777777" w:rsidR="00EC2E62" w:rsidRDefault="00EC2E62" w:rsidP="009C679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</w:pPr>
    </w:p>
    <w:p w14:paraId="3506C71A" w14:textId="3E3CABD6" w:rsidR="009C6797" w:rsidRPr="00AD02D4" w:rsidRDefault="009C6797" w:rsidP="009C679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-US" w:eastAsia="it-IT"/>
        </w:rPr>
      </w:pPr>
      <w:r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>PhD</w:t>
      </w:r>
      <w:r w:rsidRPr="009C6797">
        <w:rPr>
          <w:rFonts w:asciiTheme="majorHAnsi" w:eastAsia="Times New Roman" w:hAnsiTheme="majorHAnsi" w:cs="Trebuchet MS"/>
          <w:b/>
          <w:i/>
          <w:color w:val="0000FF"/>
          <w:sz w:val="28"/>
          <w:szCs w:val="18"/>
          <w:lang w:val="en" w:eastAsia="it-IT"/>
        </w:rPr>
        <w:t>, Master, Specialization</w:t>
      </w:r>
    </w:p>
    <w:p w14:paraId="09EC8C0C" w14:textId="0A281EEB" w:rsidR="009C6797" w:rsidRPr="00AD02D4" w:rsidRDefault="00117FE1" w:rsidP="009C679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AD02D4">
        <w:rPr>
          <w:rFonts w:asciiTheme="majorHAnsi" w:eastAsia="Times New Roman" w:hAnsiTheme="majorHAnsi" w:cstheme="majorHAnsi"/>
          <w:b/>
          <w:iCs/>
          <w:sz w:val="24"/>
          <w:szCs w:val="24"/>
          <w:lang w:val="en-US" w:eastAsia="it-IT"/>
        </w:rPr>
        <w:t>P</w:t>
      </w:r>
      <w:r w:rsidR="00AB51F0" w:rsidRPr="00AD02D4">
        <w:rPr>
          <w:rFonts w:asciiTheme="majorHAnsi" w:eastAsia="Times New Roman" w:hAnsiTheme="majorHAnsi" w:cstheme="majorHAnsi"/>
          <w:b/>
          <w:iCs/>
          <w:sz w:val="24"/>
          <w:szCs w:val="24"/>
          <w:lang w:val="en-US" w:eastAsia="it-IT"/>
        </w:rPr>
        <w:t>T</w:t>
      </w:r>
      <w:r w:rsidR="009623CA" w:rsidRPr="00AD02D4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 = 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(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Punteggio ottenuto dallo studente nel conseguire il titolo utilizzato per l’accesso al Corso di studio in cui lo studente è iscritto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) </w:t>
      </w:r>
      <w:r w:rsidR="00014AA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The grade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obtained by the student </w:t>
      </w:r>
      <w:r w:rsidR="003B435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for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the qualification used </w:t>
      </w:r>
      <w:r w:rsidR="003B435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to</w:t>
      </w:r>
      <w:r w:rsidR="003B435C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access the degree program</w:t>
      </w:r>
      <w:r w:rsidR="003B435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me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the student is enrolled</w:t>
      </w:r>
      <w:r w:rsidR="003B435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in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 (typically the </w:t>
      </w:r>
      <w:r w:rsidR="003B435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final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grade; if not reported, the weighted average </w:t>
      </w:r>
      <w:r w:rsidR="00014AAC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 xml:space="preserve">grade </w:t>
      </w:r>
      <w:r w:rsidR="009C6797" w:rsidRPr="009C6797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of the exams is used).</w:t>
      </w:r>
    </w:p>
    <w:p w14:paraId="2E13B48D" w14:textId="2384D421" w:rsidR="00AB51F0" w:rsidRPr="00AD02D4" w:rsidRDefault="00AB51F0" w:rsidP="0013277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AD02D4">
        <w:rPr>
          <w:rFonts w:asciiTheme="majorHAnsi" w:eastAsia="Times New Roman" w:hAnsiTheme="majorHAnsi" w:cstheme="majorHAnsi"/>
          <w:b/>
          <w:iCs/>
          <w:sz w:val="24"/>
          <w:szCs w:val="24"/>
          <w:lang w:val="en-US" w:eastAsia="it-IT"/>
        </w:rPr>
        <w:t>PM</w:t>
      </w:r>
      <w:r w:rsidRPr="00AD02D4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 = 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(</w:t>
      </w:r>
      <w:r w:rsidR="00CA065B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V</w:t>
      </w:r>
      <w:r w:rsidR="005B6701" w:rsidRPr="00CA065B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alore massimo di PT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) </w:t>
      </w:r>
      <w:r w:rsidR="006242C9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M</w:t>
      </w:r>
      <w:r w:rsidR="009C6797" w:rsidRPr="00AD02D4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aximum value of PT (</w:t>
      </w:r>
      <w:r w:rsidR="003B435C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for</w:t>
      </w:r>
      <w:r w:rsidR="009C6797" w:rsidRPr="00AD02D4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 Italian degree 110 and honors; </w:t>
      </w:r>
      <w:r w:rsidR="003B435C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a</w:t>
      </w:r>
      <w:r w:rsidR="003B435C" w:rsidRPr="00AD02D4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 xml:space="preserve"> </w:t>
      </w:r>
      <w:r w:rsidR="009C6797" w:rsidRPr="00AD02D4"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  <w:t>value of 2 is attributed to the honors, thus resulting in the maximum value equal to 112)</w:t>
      </w:r>
    </w:p>
    <w:p w14:paraId="5A001EAA" w14:textId="335A77C9" w:rsidR="00FC36E6" w:rsidRPr="00FC36E6" w:rsidRDefault="00AB51F0" w:rsidP="00FC3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</w:pPr>
      <w:r w:rsidRPr="00796798">
        <w:rPr>
          <w:rFonts w:asciiTheme="majorHAnsi" w:eastAsia="Times New Roman" w:hAnsiTheme="majorHAnsi" w:cstheme="majorHAnsi"/>
          <w:b/>
          <w:iCs/>
          <w:sz w:val="24"/>
          <w:szCs w:val="24"/>
          <w:lang w:eastAsia="it-IT"/>
        </w:rPr>
        <w:t>PS</w:t>
      </w:r>
      <w:r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= 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(</w:t>
      </w:r>
      <w:r w:rsid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P</w:t>
      </w:r>
      <w:r w:rsidR="005B6701" w:rsidRPr="00796798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unteggio studente</w:t>
      </w:r>
      <w:r w:rsidR="005B6701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) </w:t>
      </w:r>
      <w:r w:rsidR="006242C9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S</w:t>
      </w:r>
      <w:r w:rsidR="00FC36E6" w:rsidRPr="00CA065B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>tudent score</w:t>
      </w:r>
    </w:p>
    <w:p w14:paraId="45026056" w14:textId="40A02033" w:rsidR="00AB51F0" w:rsidRPr="00796798" w:rsidRDefault="00AB51F0" w:rsidP="0013277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</w:pPr>
    </w:p>
    <w:p w14:paraId="0736984A" w14:textId="77777777" w:rsidR="00283BC4" w:rsidRPr="00796798" w:rsidRDefault="00117FE1" w:rsidP="00283BC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iCs/>
          <w:sz w:val="28"/>
          <w:szCs w:val="28"/>
          <w:lang w:eastAsia="it-IT"/>
        </w:rPr>
      </w:pPr>
      <m:oMathPara>
        <m:oMath>
          <m:r>
            <w:rPr>
              <w:rFonts w:ascii="Cambria Math" w:eastAsia="Times New Roman" w:hAnsi="Cambria Math" w:cstheme="majorHAnsi"/>
              <w:sz w:val="24"/>
              <w:szCs w:val="28"/>
              <w:lang w:eastAsia="it-IT"/>
            </w:rPr>
            <m:t>PS=</m:t>
          </m:r>
          <m:f>
            <m:fPr>
              <m:ctrlPr>
                <w:rPr>
                  <w:rFonts w:ascii="Cambria Math" w:eastAsia="Times New Roman" w:hAnsi="Cambria Math" w:cstheme="majorHAnsi"/>
                  <w:i/>
                  <w:iCs/>
                  <w:sz w:val="24"/>
                  <w:szCs w:val="28"/>
                  <w:lang w:eastAsia="it-IT"/>
                </w:rPr>
              </m:ctrlPr>
            </m:fPr>
            <m:num>
              <m:r>
                <w:rPr>
                  <w:rFonts w:ascii="Cambria Math" w:eastAsia="Times New Roman" w:hAnsi="Cambria Math" w:cstheme="majorHAnsi"/>
                  <w:sz w:val="24"/>
                  <w:szCs w:val="28"/>
                  <w:lang w:eastAsia="it-IT"/>
                </w:rPr>
                <m:t>PT</m:t>
              </m:r>
            </m:num>
            <m:den>
              <m:r>
                <w:rPr>
                  <w:rFonts w:ascii="Cambria Math" w:eastAsia="Times New Roman" w:hAnsi="Cambria Math" w:cstheme="majorHAnsi"/>
                  <w:sz w:val="24"/>
                  <w:szCs w:val="28"/>
                  <w:lang w:eastAsia="it-IT"/>
                </w:rPr>
                <m:t>PM</m:t>
              </m:r>
            </m:den>
          </m:f>
          <m:r>
            <w:rPr>
              <w:rFonts w:ascii="Cambria Math" w:eastAsia="Times New Roman" w:hAnsi="Cambria Math" w:cstheme="majorHAnsi"/>
              <w:sz w:val="24"/>
              <w:szCs w:val="28"/>
              <w:lang w:eastAsia="it-IT"/>
            </w:rPr>
            <m:t>∙100</m:t>
          </m:r>
        </m:oMath>
      </m:oMathPara>
    </w:p>
    <w:p w14:paraId="783E9123" w14:textId="77777777" w:rsidR="00FC36E6" w:rsidRPr="00014AAC" w:rsidRDefault="00FC36E6" w:rsidP="00FC3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val="en-US" w:eastAsia="it-IT"/>
        </w:rPr>
      </w:pPr>
      <w:r w:rsidRPr="00FC36E6">
        <w:rPr>
          <w:rFonts w:asciiTheme="majorHAnsi" w:eastAsia="Times New Roman" w:hAnsiTheme="majorHAnsi" w:cstheme="majorHAnsi"/>
          <w:iCs/>
          <w:sz w:val="24"/>
          <w:szCs w:val="24"/>
          <w:lang w:val="en" w:eastAsia="it-IT"/>
        </w:rPr>
        <w:t>The maximum value of PS is therefore 100.</w:t>
      </w:r>
    </w:p>
    <w:p w14:paraId="35E5A791" w14:textId="4301BFBB" w:rsidR="00FC36E6" w:rsidRPr="00014AAC" w:rsidRDefault="00FC36E6" w:rsidP="00FC36E6">
      <w:pPr>
        <w:rPr>
          <w:rFonts w:asciiTheme="majorHAnsi" w:eastAsia="Times New Roman" w:hAnsiTheme="majorHAnsi" w:cstheme="majorHAnsi"/>
          <w:b/>
          <w:iCs/>
          <w:sz w:val="24"/>
          <w:szCs w:val="24"/>
          <w:lang w:val="en-US" w:eastAsia="it-IT"/>
        </w:rPr>
      </w:pPr>
      <w:r w:rsidRPr="00FC36E6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The ranking</w:t>
      </w:r>
      <w:r w:rsidR="003B435C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list</w:t>
      </w:r>
      <w:r w:rsidRPr="00FC36E6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referring to PhD, Master and Specialization students is drawn up separately from the ranking</w:t>
      </w:r>
      <w:r w:rsidR="003B435C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list</w:t>
      </w:r>
      <w:r w:rsidRPr="00FC36E6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</w:t>
      </w:r>
      <w:r w:rsidR="003B435C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of</w:t>
      </w:r>
      <w:r w:rsidR="003B435C" w:rsidRPr="00FC36E6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the students </w:t>
      </w:r>
      <w:r w:rsidR="00C94476" w:rsidRPr="00FC36E6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 xml:space="preserve">previously </w:t>
      </w:r>
      <w:r w:rsidRPr="00FC36E6">
        <w:rPr>
          <w:rFonts w:asciiTheme="majorHAnsi" w:eastAsia="Times New Roman" w:hAnsiTheme="majorHAnsi" w:cstheme="majorHAnsi"/>
          <w:b/>
          <w:iCs/>
          <w:sz w:val="24"/>
          <w:szCs w:val="24"/>
          <w:lang w:val="en" w:eastAsia="it-IT"/>
        </w:rPr>
        <w:t>considered and has lower priority.</w:t>
      </w:r>
    </w:p>
    <w:p w14:paraId="4631A808" w14:textId="3B3DCBC0" w:rsidR="00490DFF" w:rsidRPr="00014AAC" w:rsidRDefault="009402FB">
      <w:pPr>
        <w:rPr>
          <w:rFonts w:asciiTheme="majorHAnsi" w:eastAsia="Times New Roman" w:hAnsiTheme="majorHAnsi" w:cstheme="majorHAnsi"/>
          <w:bCs/>
          <w:sz w:val="24"/>
          <w:szCs w:val="24"/>
          <w:lang w:val="en-US" w:eastAsia="it-IT"/>
        </w:rPr>
      </w:pPr>
      <w:r w:rsidRPr="00014AAC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it-IT"/>
        </w:rPr>
        <w:lastRenderedPageBreak/>
        <w:t>N</w:t>
      </w:r>
      <w:r w:rsidR="00097EDB" w:rsidRPr="00014AAC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it-IT"/>
        </w:rPr>
        <w:t>.B.</w:t>
      </w:r>
      <w:r w:rsidRPr="00014AAC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it-IT"/>
        </w:rPr>
        <w:t xml:space="preserve"> </w:t>
      </w:r>
      <w:r w:rsidR="00FC36E6">
        <w:rPr>
          <w:rFonts w:asciiTheme="majorHAnsi" w:eastAsia="Times New Roman" w:hAnsiTheme="majorHAnsi" w:cstheme="majorHAnsi"/>
          <w:bCs/>
          <w:sz w:val="24"/>
          <w:szCs w:val="24"/>
          <w:lang w:val="en" w:eastAsia="it-IT"/>
        </w:rPr>
        <w:t xml:space="preserve">Values </w:t>
      </w:r>
      <w:r w:rsidR="00FC36E6" w:rsidRPr="00FC36E6">
        <w:rPr>
          <w:rFonts w:asciiTheme="majorHAnsi" w:eastAsia="Times New Roman" w:hAnsiTheme="majorHAnsi" w:cstheme="majorHAnsi"/>
          <w:bCs/>
          <w:sz w:val="24"/>
          <w:szCs w:val="24"/>
          <w:lang w:val="en" w:eastAsia="it-IT"/>
        </w:rPr>
        <w:t>must be rounded to the second decimal place</w:t>
      </w:r>
      <w:r w:rsidRPr="00014AAC">
        <w:rPr>
          <w:rFonts w:asciiTheme="majorHAnsi" w:eastAsia="Times New Roman" w:hAnsiTheme="majorHAnsi" w:cstheme="majorHAnsi"/>
          <w:bCs/>
          <w:sz w:val="24"/>
          <w:szCs w:val="24"/>
          <w:lang w:val="en-US" w:eastAsia="it-IT"/>
        </w:rPr>
        <w:t>.</w:t>
      </w:r>
    </w:p>
    <w:p w14:paraId="5ABF2BBF" w14:textId="4CBE456A" w:rsidR="007A4EEA" w:rsidRPr="00014AAC" w:rsidRDefault="007A4EEA">
      <w:pPr>
        <w:rPr>
          <w:rFonts w:asciiTheme="majorHAnsi" w:eastAsia="Times New Roman" w:hAnsiTheme="majorHAnsi" w:cstheme="majorHAnsi"/>
          <w:bCs/>
          <w:sz w:val="24"/>
          <w:szCs w:val="24"/>
          <w:lang w:val="en-US" w:eastAsia="it-IT"/>
        </w:rPr>
      </w:pPr>
    </w:p>
    <w:p w14:paraId="3A79C3FB" w14:textId="77777777" w:rsidR="00FC36E6" w:rsidRPr="00014AAC" w:rsidRDefault="00FC36E6">
      <w:pPr>
        <w:rPr>
          <w:rFonts w:asciiTheme="majorHAnsi" w:eastAsia="Times New Roman" w:hAnsiTheme="majorHAnsi" w:cstheme="majorHAnsi"/>
          <w:bCs/>
          <w:sz w:val="24"/>
          <w:szCs w:val="24"/>
          <w:lang w:val="en-US" w:eastAsia="it-IT"/>
        </w:rPr>
      </w:pPr>
    </w:p>
    <w:p w14:paraId="5FB1E119" w14:textId="2931CEA6" w:rsidR="00FC36E6" w:rsidRPr="007C64AC" w:rsidRDefault="00FC36E6" w:rsidP="00FC36E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 w:eastAsia="it-IT"/>
        </w:rPr>
      </w:pPr>
      <w:r w:rsidRPr="00FC36E6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 xml:space="preserve">ADDITIONAL </w:t>
      </w:r>
      <w:r w:rsidR="00C94476" w:rsidRPr="00FC36E6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>P</w:t>
      </w:r>
      <w:r w:rsidR="00014AAC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>r</w:t>
      </w:r>
      <w:r w:rsidR="00C94476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>iority</w:t>
      </w:r>
      <w:r w:rsidR="00C94476" w:rsidRPr="00FC36E6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>CRITERIA</w:t>
      </w:r>
    </w:p>
    <w:p w14:paraId="44E592A3" w14:textId="175A482F" w:rsidR="00FC36E6" w:rsidRPr="00014AAC" w:rsidRDefault="00FC36E6" w:rsidP="00FC3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 w:eastAsia="it-IT"/>
        </w:rPr>
      </w:pP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Candidates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having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already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been</w:t>
      </w:r>
      <w:r w:rsidR="00C94476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in mobility actions (within the Lifelong Learning Program, Erasmus +, Erasmus Mundus,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for</w:t>
      </w:r>
      <w:r w:rsidR="00C94476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the same study cycle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of application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, including mobility carried out in the context of Erasmus + Consortia, such as for example Consortium traineeship, Consorzio ILO and Consorzio ILO-2, Consorzio SEND, etc.) </w:t>
      </w:r>
      <w:r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will be </w:t>
      </w:r>
      <w:r w:rsidR="00C9447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placed</w:t>
      </w:r>
      <w:r w:rsidR="00C9447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at the </w:t>
      </w:r>
      <w:r w:rsidR="00C9447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end</w:t>
      </w:r>
      <w:r w:rsidR="00C9447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of the ranking</w:t>
      </w:r>
      <w:r w:rsidR="00C9447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list</w:t>
      </w:r>
      <w:r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, </w:t>
      </w:r>
      <w:r w:rsidR="00C9447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according to</w:t>
      </w:r>
      <w:r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score</w:t>
      </w:r>
      <w:r w:rsidR="00C9447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order</w:t>
      </w:r>
      <w:r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.</w:t>
      </w:r>
    </w:p>
    <w:p w14:paraId="07C48196" w14:textId="5E520CBA" w:rsidR="00FC36E6" w:rsidRPr="00014AAC" w:rsidRDefault="00FC36E6" w:rsidP="00FC3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it-IT"/>
        </w:rPr>
      </w:pP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Similarly, candidates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applying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for multiple mobilities, </w:t>
      </w:r>
      <w:r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for the second mobility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, will be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placed</w:t>
      </w:r>
      <w:r w:rsidR="00C94476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at the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end</w:t>
      </w:r>
      <w:r w:rsidR="00C94476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of the ranking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list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, 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according to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score</w:t>
      </w:r>
      <w:r w:rsidR="00C9447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order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.</w:t>
      </w:r>
    </w:p>
    <w:p w14:paraId="788DA759" w14:textId="50A6FA48" w:rsidR="0022792D" w:rsidRPr="00014AAC" w:rsidRDefault="00C94476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 w:eastAsia="it-IT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In case of equal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score, priority is given to</w:t>
      </w:r>
      <w:r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regular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students over those </w:t>
      </w:r>
      <w:r w:rsidR="00014AAC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”Fuori Corso”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. In case of Doctorate and Specialization, priority is given to students </w:t>
      </w:r>
      <w:r w:rsidR="005320D1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having 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enrolled for </w:t>
      </w:r>
      <w:r w:rsidR="005320D1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more</w:t>
      </w:r>
      <w:r w:rsidR="005320D1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years. In case of further equality, </w:t>
      </w:r>
      <w:r w:rsidR="00F65E63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the 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youngest</w:t>
      </w:r>
      <w:r w:rsidR="00F65E63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candidate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 xml:space="preserve"> </w:t>
      </w:r>
      <w:r w:rsidR="005320D1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will prevail</w:t>
      </w:r>
      <w:r w:rsidR="00FC36E6" w:rsidRPr="00FC36E6">
        <w:rPr>
          <w:rFonts w:asciiTheme="majorHAnsi" w:eastAsia="Times New Roman" w:hAnsiTheme="majorHAnsi" w:cstheme="majorHAnsi"/>
          <w:b/>
          <w:sz w:val="24"/>
          <w:szCs w:val="24"/>
          <w:lang w:val="en" w:eastAsia="it-IT"/>
        </w:rPr>
        <w:t>.</w:t>
      </w:r>
    </w:p>
    <w:p w14:paraId="6CBFE030" w14:textId="77777777" w:rsidR="00AD02D4" w:rsidRDefault="00AD02D4" w:rsidP="00AD02D4">
      <w:pP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</w:pPr>
    </w:p>
    <w:p w14:paraId="4BC19624" w14:textId="5859C63D" w:rsidR="00FC36E6" w:rsidRPr="00014AAC" w:rsidRDefault="00FC36E6" w:rsidP="00AD02D4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it-IT"/>
        </w:rPr>
      </w:pPr>
      <w:r w:rsidRPr="00FC36E6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>MANAGEMENT OF RANKING</w:t>
      </w:r>
      <w:r w:rsidR="005320D1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" w:eastAsia="it-IT"/>
        </w:rPr>
        <w:t xml:space="preserve"> lists</w:t>
      </w:r>
    </w:p>
    <w:p w14:paraId="0C8241BC" w14:textId="5F7F04F7" w:rsidR="00DC7801" w:rsidRPr="00EC2E62" w:rsidRDefault="00FC36E6" w:rsidP="007A1E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" w:eastAsia="it-IT"/>
        </w:rPr>
      </w:pP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Once the CAI has drawn up the ranking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list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, the available </w:t>
      </w:r>
      <w:r w:rsidR="00014A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institution</w:t>
      </w:r>
      <w:r w:rsidR="005320D1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is assigned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among the three 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selected</w:t>
      </w:r>
      <w:r w:rsidR="005320D1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by the student, starting 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from</w:t>
      </w:r>
      <w:r w:rsidR="005320D1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the students 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with highest placement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in the ranking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list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, in compliance with the priority 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selected</w:t>
      </w:r>
      <w:r w:rsidR="005320D1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by the student. In </w:t>
      </w:r>
      <w:r w:rsidR="00F65E6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the event</w:t>
      </w:r>
      <w:r w:rsidR="00F65E63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of multiple mobility, the first available </w:t>
      </w:r>
      <w:r w:rsidR="00014A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institution</w:t>
      </w:r>
      <w:r w:rsidR="005320D1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will be assigned and the student will be placed at the 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end</w:t>
      </w:r>
      <w:r w:rsidR="005320D1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of the ranking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list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for the </w:t>
      </w:r>
      <w:r w:rsidR="005320D1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second </w:t>
      </w:r>
      <w:r w:rsidR="00014A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institution</w:t>
      </w:r>
      <w:r w:rsidR="00014AAC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assignment. If 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seat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assign</w:t>
      </w:r>
      <w:r w:rsidR="005320D1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ment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to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student on the ranking list </w:t>
      </w:r>
      <w:r w:rsidR="005B7A83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is not possible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because the places available for the three </w:t>
      </w:r>
      <w:r w:rsidR="00D62D24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options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have been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already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assigned and / or because the application deadlines have expired in the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selected </w:t>
      </w:r>
      <w:r w:rsidR="00014A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institution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, the CAI may decide</w:t>
      </w:r>
      <w:r w:rsidR="00014A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,</w:t>
      </w:r>
      <w:r w:rsidR="00014AAC" w:rsidRPr="00014A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="00014A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after having consulted with the student,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to assign one of the remaining available </w:t>
      </w:r>
      <w:r w:rsidR="007C64AC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institution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.</w:t>
      </w:r>
    </w:p>
    <w:p w14:paraId="7C207640" w14:textId="6B79E8F8" w:rsidR="00A7575D" w:rsidRPr="00EC2E62" w:rsidRDefault="00FC36E6" w:rsidP="00FC3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" w:eastAsia="it-IT"/>
        </w:rPr>
      </w:pP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The student will be contacted only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by</w:t>
      </w:r>
      <w:r w:rsidR="005B7A83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institutional e-mail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account</w:t>
      </w:r>
      <w:r w:rsidR="005B7A83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licens</w:t>
      </w:r>
      <w:r w:rsidR="005B7A83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ed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by the University of Pisa</w:t>
      </w:r>
      <w:r w:rsidRPr="00EC2E62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="00A7575D" w:rsidRPr="00EC2E62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(</w:t>
      </w:r>
      <w:hyperlink r:id="rId10" w:history="1">
        <w:r w:rsidR="00A7575D" w:rsidRPr="00EC2E62">
          <w:rPr>
            <w:rStyle w:val="Collegamentoipertestuale"/>
            <w:rFonts w:asciiTheme="majorHAnsi" w:eastAsia="Times New Roman" w:hAnsiTheme="majorHAnsi" w:cstheme="majorHAnsi"/>
            <w:i/>
            <w:sz w:val="24"/>
            <w:szCs w:val="24"/>
            <w:lang w:val="en" w:eastAsia="it-IT"/>
          </w:rPr>
          <w:t>nome.cognome@studenti.unipi.it</w:t>
        </w:r>
      </w:hyperlink>
      <w:r w:rsidR="00A7575D" w:rsidRPr="00EC2E62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).</w:t>
      </w:r>
    </w:p>
    <w:p w14:paraId="00CF55D1" w14:textId="6CCD3619" w:rsidR="00FC36E6" w:rsidRPr="00EC2E62" w:rsidRDefault="00FC36E6" w:rsidP="00FC3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" w:eastAsia="it-IT"/>
        </w:rPr>
      </w:pP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Students can be summoned by their own CAI to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join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meetings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for the seat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assign</w:t>
      </w:r>
      <w:r w:rsidR="00C51649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ment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.</w:t>
      </w:r>
    </w:p>
    <w:p w14:paraId="4340B5EC" w14:textId="777ACB35" w:rsidR="004023B3" w:rsidRPr="00EC2E62" w:rsidRDefault="00FC36E6" w:rsidP="00FC3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" w:eastAsia="it-IT"/>
        </w:rPr>
      </w:pP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At the end of the selection procedures, the merit</w:t>
      </w:r>
      <w:r w:rsidR="00F65E6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-based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ranking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lists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select</w:t>
      </w:r>
      <w:r w:rsidR="005B7A83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ed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by Area / Department are published by each CAI </w:t>
      </w:r>
      <w:r w:rsidR="005B7A8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on</w:t>
      </w:r>
      <w:r w:rsidR="005B7A83"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r w:rsidRPr="00FC36E6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the University </w:t>
      </w:r>
      <w:r w:rsidR="00F65E63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Official Journal at:</w:t>
      </w:r>
      <w:r w:rsidR="00F65E63" w:rsidRPr="00EC2E62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 xml:space="preserve"> </w:t>
      </w:r>
      <w:hyperlink r:id="rId11" w:history="1">
        <w:r w:rsidR="004023B3" w:rsidRPr="00EC2E62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val="en" w:eastAsia="it-IT"/>
          </w:rPr>
          <w:t>https://alboufficiale.unipi.it</w:t>
        </w:r>
      </w:hyperlink>
      <w:r w:rsidR="004023B3" w:rsidRPr="00EC2E62">
        <w:rPr>
          <w:rFonts w:asciiTheme="majorHAnsi" w:eastAsia="Times New Roman" w:hAnsiTheme="majorHAnsi" w:cstheme="majorHAnsi"/>
          <w:sz w:val="24"/>
          <w:szCs w:val="24"/>
          <w:lang w:val="en" w:eastAsia="it-IT"/>
        </w:rPr>
        <w:t>.</w:t>
      </w:r>
    </w:p>
    <w:sectPr w:rsidR="004023B3" w:rsidRPr="00EC2E62" w:rsidSect="00D73CC1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10630"/>
    <w:multiLevelType w:val="hybridMultilevel"/>
    <w:tmpl w:val="34AC10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1"/>
    <w:rsid w:val="00014AAC"/>
    <w:rsid w:val="00097EDB"/>
    <w:rsid w:val="000E4406"/>
    <w:rsid w:val="000F17C7"/>
    <w:rsid w:val="00117FE1"/>
    <w:rsid w:val="00127B42"/>
    <w:rsid w:val="00132771"/>
    <w:rsid w:val="00142BE3"/>
    <w:rsid w:val="00182714"/>
    <w:rsid w:val="00184FE4"/>
    <w:rsid w:val="001E5D2C"/>
    <w:rsid w:val="002052C3"/>
    <w:rsid w:val="00217F4B"/>
    <w:rsid w:val="0022792D"/>
    <w:rsid w:val="00283BC4"/>
    <w:rsid w:val="002D2E3C"/>
    <w:rsid w:val="002E0A03"/>
    <w:rsid w:val="0037240B"/>
    <w:rsid w:val="00391501"/>
    <w:rsid w:val="00396227"/>
    <w:rsid w:val="003B435C"/>
    <w:rsid w:val="003B6C96"/>
    <w:rsid w:val="003D7DFB"/>
    <w:rsid w:val="00401EE9"/>
    <w:rsid w:val="004023B3"/>
    <w:rsid w:val="004670E6"/>
    <w:rsid w:val="00490DFF"/>
    <w:rsid w:val="004B5909"/>
    <w:rsid w:val="00515491"/>
    <w:rsid w:val="00520159"/>
    <w:rsid w:val="0053151D"/>
    <w:rsid w:val="005320D1"/>
    <w:rsid w:val="0054464F"/>
    <w:rsid w:val="005B6701"/>
    <w:rsid w:val="005B7A83"/>
    <w:rsid w:val="006052EE"/>
    <w:rsid w:val="00611F5D"/>
    <w:rsid w:val="006242C9"/>
    <w:rsid w:val="006656A3"/>
    <w:rsid w:val="006659A1"/>
    <w:rsid w:val="006970C7"/>
    <w:rsid w:val="006A6C72"/>
    <w:rsid w:val="00744117"/>
    <w:rsid w:val="00767FC5"/>
    <w:rsid w:val="00774DD8"/>
    <w:rsid w:val="007838E6"/>
    <w:rsid w:val="00791132"/>
    <w:rsid w:val="00796798"/>
    <w:rsid w:val="007A1E1E"/>
    <w:rsid w:val="007A4EEA"/>
    <w:rsid w:val="007B74FC"/>
    <w:rsid w:val="007C64AC"/>
    <w:rsid w:val="007F53FF"/>
    <w:rsid w:val="008C1D02"/>
    <w:rsid w:val="009402FB"/>
    <w:rsid w:val="009519AC"/>
    <w:rsid w:val="009623CA"/>
    <w:rsid w:val="00994CAA"/>
    <w:rsid w:val="009B49E8"/>
    <w:rsid w:val="009C559C"/>
    <w:rsid w:val="009C6797"/>
    <w:rsid w:val="009F3FA3"/>
    <w:rsid w:val="00A0479F"/>
    <w:rsid w:val="00A22625"/>
    <w:rsid w:val="00A32E70"/>
    <w:rsid w:val="00A51CCA"/>
    <w:rsid w:val="00A57FD5"/>
    <w:rsid w:val="00A6737D"/>
    <w:rsid w:val="00A71DEF"/>
    <w:rsid w:val="00A7575D"/>
    <w:rsid w:val="00AA2F5F"/>
    <w:rsid w:val="00AB2F0B"/>
    <w:rsid w:val="00AB51F0"/>
    <w:rsid w:val="00AD02D4"/>
    <w:rsid w:val="00AF1842"/>
    <w:rsid w:val="00AF4938"/>
    <w:rsid w:val="00B22BD9"/>
    <w:rsid w:val="00B43838"/>
    <w:rsid w:val="00B75CA4"/>
    <w:rsid w:val="00B93D6C"/>
    <w:rsid w:val="00C007DF"/>
    <w:rsid w:val="00C01EA9"/>
    <w:rsid w:val="00C175EF"/>
    <w:rsid w:val="00C23C9B"/>
    <w:rsid w:val="00C2512B"/>
    <w:rsid w:val="00C26256"/>
    <w:rsid w:val="00C339CE"/>
    <w:rsid w:val="00C50B94"/>
    <w:rsid w:val="00C51649"/>
    <w:rsid w:val="00C51D17"/>
    <w:rsid w:val="00C94476"/>
    <w:rsid w:val="00CA065B"/>
    <w:rsid w:val="00CA4293"/>
    <w:rsid w:val="00CC7BE8"/>
    <w:rsid w:val="00CD7AA3"/>
    <w:rsid w:val="00CD7EE1"/>
    <w:rsid w:val="00CE3E9A"/>
    <w:rsid w:val="00CE6F4F"/>
    <w:rsid w:val="00CF30E8"/>
    <w:rsid w:val="00D42A82"/>
    <w:rsid w:val="00D62D24"/>
    <w:rsid w:val="00D734DA"/>
    <w:rsid w:val="00D73CC1"/>
    <w:rsid w:val="00D93C16"/>
    <w:rsid w:val="00DC7801"/>
    <w:rsid w:val="00DF3B5B"/>
    <w:rsid w:val="00E17442"/>
    <w:rsid w:val="00E219D9"/>
    <w:rsid w:val="00E27ED9"/>
    <w:rsid w:val="00E97194"/>
    <w:rsid w:val="00EC2E62"/>
    <w:rsid w:val="00EC6152"/>
    <w:rsid w:val="00EC7225"/>
    <w:rsid w:val="00F0697B"/>
    <w:rsid w:val="00F65E63"/>
    <w:rsid w:val="00F820FC"/>
    <w:rsid w:val="00FC36E6"/>
    <w:rsid w:val="00FD2CE3"/>
    <w:rsid w:val="00FD5250"/>
    <w:rsid w:val="00FF0466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8EB2"/>
  <w15:chartTrackingRefBased/>
  <w15:docId w15:val="{46ECE30C-2613-4A64-8568-AFD5A20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uiPriority w:val="9"/>
    <w:qFormat/>
    <w:rsid w:val="00796798"/>
    <w:pPr>
      <w:keepNext/>
      <w:spacing w:after="0" w:line="320" w:lineRule="exact"/>
      <w:ind w:firstLine="360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22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2792D"/>
    <w:rPr>
      <w:color w:val="808080"/>
    </w:rPr>
  </w:style>
  <w:style w:type="paragraph" w:styleId="Paragrafoelenco">
    <w:name w:val="List Paragraph"/>
    <w:basedOn w:val="Normale"/>
    <w:uiPriority w:val="34"/>
    <w:qFormat/>
    <w:rsid w:val="00132771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rsid w:val="00796798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2052C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2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02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67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6797"/>
    <w:rPr>
      <w:rFonts w:ascii="Consolas" w:hAnsi="Consolas" w:cs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251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51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51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5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512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33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boufficiale.unipi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ome.cognome@studenti.unipi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69D9083290CF4F8305D639A80E266E" ma:contentTypeVersion="12" ma:contentTypeDescription="Creare un nuovo documento." ma:contentTypeScope="" ma:versionID="a25b282ffddbfd73f25138caf8d78f9b">
  <xsd:schema xmlns:xsd="http://www.w3.org/2001/XMLSchema" xmlns:xs="http://www.w3.org/2001/XMLSchema" xmlns:p="http://schemas.microsoft.com/office/2006/metadata/properties" xmlns:ns2="be9ea271-92bf-4590-a58b-5a3d151f02eb" xmlns:ns3="1a10921c-dd67-4828-8a6d-7d399c72949a" targetNamespace="http://schemas.microsoft.com/office/2006/metadata/properties" ma:root="true" ma:fieldsID="49eeecad300479b4d9adae53cd8bb46b" ns2:_="" ns3:_="">
    <xsd:import namespace="be9ea271-92bf-4590-a58b-5a3d151f02eb"/>
    <xsd:import namespace="1a10921c-dd67-4828-8a6d-7d399c72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a271-92bf-4590-a58b-5a3d151f0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0921c-dd67-4828-8a6d-7d399c72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ADCC-B725-4538-A334-EFE277A14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DA242-3359-453C-A047-315B1E3F0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A9C77-0838-4A36-A476-310CD000E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ea271-92bf-4590-a58b-5a3d151f02eb"/>
    <ds:schemaRef ds:uri="1a10921c-dd67-4828-8a6d-7d399c72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C7191-7E55-48D8-8F70-385046E0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Marcelloni</dc:creator>
  <cp:keywords/>
  <dc:description/>
  <cp:lastModifiedBy>Elena Papaleo</cp:lastModifiedBy>
  <cp:revision>6</cp:revision>
  <cp:lastPrinted>2020-02-10T09:33:00Z</cp:lastPrinted>
  <dcterms:created xsi:type="dcterms:W3CDTF">2021-03-29T07:23:00Z</dcterms:created>
  <dcterms:modified xsi:type="dcterms:W3CDTF">2021-03-29T09:27:00Z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0x0101000069D9083290CF4F8305D639A80E266E</vt:lpwstr>
  </property>
</Properties>
</file>